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020F" w14:textId="77777777" w:rsidR="00CD3E72" w:rsidRDefault="0039093A" w:rsidP="0039093A">
      <w:pPr>
        <w:spacing w:after="0" w:line="240" w:lineRule="auto"/>
        <w:ind w:firstLine="709"/>
        <w:jc w:val="center"/>
        <w:rPr>
          <w:rFonts w:ascii="Times New Roman" w:hAnsi="Times New Roman"/>
          <w:b/>
          <w:bCs/>
        </w:rPr>
      </w:pPr>
      <w:r w:rsidRPr="00B26017">
        <w:rPr>
          <w:rFonts w:ascii="Times New Roman" w:hAnsi="Times New Roman"/>
          <w:b/>
          <w:bCs/>
        </w:rPr>
        <w:t xml:space="preserve">По каким правилам работать с фондом в 2025 году. </w:t>
      </w:r>
    </w:p>
    <w:p w14:paraId="46245874" w14:textId="49663A7F" w:rsidR="0039093A" w:rsidRDefault="0039093A" w:rsidP="0039093A">
      <w:pPr>
        <w:spacing w:after="0" w:line="240" w:lineRule="auto"/>
        <w:ind w:firstLine="709"/>
        <w:jc w:val="center"/>
        <w:rPr>
          <w:rFonts w:ascii="Times New Roman" w:hAnsi="Times New Roman"/>
          <w:b/>
          <w:bCs/>
        </w:rPr>
      </w:pPr>
      <w:r w:rsidRPr="00B26017">
        <w:rPr>
          <w:rFonts w:ascii="Times New Roman" w:hAnsi="Times New Roman"/>
          <w:b/>
          <w:bCs/>
        </w:rPr>
        <w:t>Рассказывает зампредседателя СФР</w:t>
      </w:r>
    </w:p>
    <w:p w14:paraId="7B624044" w14:textId="77777777" w:rsidR="0039093A" w:rsidRPr="00B26017" w:rsidRDefault="0039093A" w:rsidP="0039093A">
      <w:pPr>
        <w:spacing w:after="0" w:line="240" w:lineRule="auto"/>
        <w:ind w:firstLine="709"/>
        <w:jc w:val="both"/>
        <w:rPr>
          <w:rFonts w:ascii="Times New Roman" w:hAnsi="Times New Roman"/>
          <w:b/>
          <w:bCs/>
        </w:rPr>
      </w:pPr>
    </w:p>
    <w:p w14:paraId="034860A6" w14:textId="77777777" w:rsidR="0039093A" w:rsidRDefault="0039093A" w:rsidP="0039093A">
      <w:pPr>
        <w:spacing w:after="0" w:line="240" w:lineRule="auto"/>
        <w:ind w:firstLine="709"/>
        <w:jc w:val="both"/>
        <w:rPr>
          <w:rFonts w:ascii="Times New Roman" w:hAnsi="Times New Roman"/>
          <w:i/>
          <w:iCs/>
        </w:rPr>
      </w:pPr>
      <w:r w:rsidRPr="00B26017">
        <w:rPr>
          <w:rFonts w:ascii="Times New Roman" w:hAnsi="Times New Roman"/>
          <w:i/>
          <w:iCs/>
        </w:rPr>
        <w:t>Правила взаимодействия с СФР регулярно меняются. Только успели привыкнуть к одним изменениям, как на подходе другие. А с этого года данные из фонда могут потребоваться и для расчета НДФЛ. Рассказать о последних новостях мы попросили Наталью Сидорову, заместителя председателя СФР.</w:t>
      </w:r>
    </w:p>
    <w:p w14:paraId="3D3D71C2" w14:textId="77777777" w:rsidR="00CD3E72" w:rsidRPr="00B26017" w:rsidRDefault="00CD3E72" w:rsidP="0039093A">
      <w:pPr>
        <w:spacing w:after="0" w:line="240" w:lineRule="auto"/>
        <w:ind w:firstLine="709"/>
        <w:jc w:val="both"/>
        <w:rPr>
          <w:rFonts w:ascii="Times New Roman" w:hAnsi="Times New Roman"/>
          <w:i/>
          <w:iCs/>
        </w:rPr>
      </w:pPr>
    </w:p>
    <w:p w14:paraId="0AB0822C"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НАТАЛЬЯ СИДОРОВА — заместитель председателя CФР. В 1991 году окончила Московский институт стали и сплавов, в 2010 году — Российский государственный социальный университет по специальности «менеджер социальной сферы». Более 30 лет работает в системе социального страхования РФ. Непосредственно координирует и контролирует деятельность департаментов организации обеспечения страховых выплат, организации страхования профессиональных рисков и по делам ветеранов и инвалидов.</w:t>
      </w:r>
    </w:p>
    <w:p w14:paraId="307E7880" w14:textId="77777777" w:rsidR="0039093A" w:rsidRPr="00B26017" w:rsidRDefault="0039093A" w:rsidP="0039093A">
      <w:pPr>
        <w:spacing w:after="0" w:line="240" w:lineRule="auto"/>
        <w:ind w:firstLine="709"/>
        <w:jc w:val="both"/>
        <w:rPr>
          <w:rFonts w:ascii="Times New Roman" w:hAnsi="Times New Roman"/>
        </w:rPr>
      </w:pPr>
    </w:p>
    <w:p w14:paraId="7EE19EE7" w14:textId="77777777" w:rsidR="0039093A" w:rsidRPr="00B26017" w:rsidRDefault="0039093A" w:rsidP="0039093A">
      <w:pPr>
        <w:spacing w:after="0" w:line="240" w:lineRule="auto"/>
        <w:ind w:firstLine="709"/>
        <w:jc w:val="both"/>
        <w:rPr>
          <w:rFonts w:ascii="Times New Roman" w:hAnsi="Times New Roman"/>
          <w:b/>
          <w:bCs/>
        </w:rPr>
      </w:pPr>
      <w:r w:rsidRPr="00B26017">
        <w:rPr>
          <w:rFonts w:ascii="Times New Roman" w:hAnsi="Times New Roman"/>
          <w:b/>
          <w:bCs/>
        </w:rPr>
        <w:t>ГЛАВБУХ: </w:t>
      </w:r>
      <w:r w:rsidRPr="00B26017">
        <w:rPr>
          <w:rFonts w:ascii="Times New Roman" w:hAnsi="Times New Roman"/>
          <w:b/>
          <w:bCs/>
          <w:i/>
          <w:iCs/>
        </w:rPr>
        <w:t>Наталья Сергеевна, с этого года данные из фонда могут потребоваться не только для расчета пособий, но и для НДФЛ. В </w:t>
      </w:r>
      <w:hyperlink r:id="rId4" w:anchor="ZAP1PHA39L" w:tgtFrame="_blank" w:history="1">
        <w:r w:rsidRPr="00B26017">
          <w:rPr>
            <w:rStyle w:val="a3"/>
            <w:rFonts w:ascii="Times New Roman" w:hAnsi="Times New Roman"/>
            <w:b/>
            <w:bCs/>
            <w:i/>
            <w:iCs/>
          </w:rPr>
          <w:t>пункте 1</w:t>
        </w:r>
      </w:hyperlink>
      <w:r w:rsidRPr="00B26017">
        <w:rPr>
          <w:rFonts w:ascii="Times New Roman" w:hAnsi="Times New Roman"/>
          <w:b/>
          <w:bCs/>
          <w:i/>
          <w:iCs/>
        </w:rPr>
        <w:t> статьи 217 НК есть правило: выходное пособие при увольнении не облагается НДФЛ, если не превышает трех средних месячных заработков. С 1 января 2025 года считать лимит нужно по правилам для пособий по беременности и родам и по уходу за ребенком. Вправе ли организация запросить в </w:t>
      </w:r>
      <w:proofErr w:type="spellStart"/>
      <w:r w:rsidRPr="00B26017">
        <w:rPr>
          <w:rFonts w:ascii="Times New Roman" w:hAnsi="Times New Roman"/>
          <w:b/>
          <w:bCs/>
          <w:i/>
          <w:iCs/>
        </w:rPr>
        <w:t>Соцфонде</w:t>
      </w:r>
      <w:proofErr w:type="spellEnd"/>
      <w:r w:rsidRPr="00B26017">
        <w:rPr>
          <w:rFonts w:ascii="Times New Roman" w:hAnsi="Times New Roman"/>
          <w:b/>
          <w:bCs/>
          <w:i/>
          <w:iCs/>
        </w:rPr>
        <w:t xml:space="preserve"> данные о заработке, стаже и исключаемых днях для расчета не облагаемого НДФЛ лимита отступных при увольнении?</w:t>
      </w:r>
    </w:p>
    <w:p w14:paraId="309A01C3"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НАТАЛЬЯ СИДОРОВА: Закон разрешает Социальному фонду предоставлять работодателю данные только для расчета выплат за первые три дня временной нетрудоспособности. У фонда нет полномочий передавать такие данные для других целей.</w:t>
      </w:r>
    </w:p>
    <w:p w14:paraId="1F425F0C" w14:textId="77777777" w:rsidR="0039093A" w:rsidRPr="00B26017" w:rsidRDefault="0039093A" w:rsidP="0039093A">
      <w:pPr>
        <w:spacing w:after="0" w:line="240" w:lineRule="auto"/>
        <w:ind w:firstLine="709"/>
        <w:jc w:val="both"/>
        <w:rPr>
          <w:rFonts w:ascii="Times New Roman" w:hAnsi="Times New Roman"/>
          <w:b/>
          <w:bCs/>
        </w:rPr>
      </w:pPr>
      <w:r w:rsidRPr="00B26017">
        <w:rPr>
          <w:rFonts w:ascii="Times New Roman" w:hAnsi="Times New Roman"/>
          <w:b/>
          <w:bCs/>
          <w:i/>
          <w:iCs/>
        </w:rPr>
        <w:t>Предоставляет ли сейчас фонд в принципе данные об исключаемых днях? Если нет, то когда такая услуга появится у фонда?</w:t>
      </w:r>
    </w:p>
    <w:p w14:paraId="50451498"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Сведения о днях расчетного периода фонд указывает в поле «число календарных дней, учитываемых в расчетном периоде» и направляет работодателю в составе запроса о недостающих сведениях. Сейчас идет работа над тем, чтобы наполнять состав запроса. В запросах о пособиях по временной нетрудоспособности появится отдельное поле с информацией о количестве календарных дней, исключаемых из расчетного периода, заполненной по данным СФР.</w:t>
      </w:r>
    </w:p>
    <w:p w14:paraId="0533DEC5" w14:textId="77777777" w:rsidR="0039093A" w:rsidRPr="00B26017" w:rsidRDefault="0039093A" w:rsidP="0039093A">
      <w:pPr>
        <w:spacing w:after="0" w:line="240" w:lineRule="auto"/>
        <w:ind w:firstLine="709"/>
        <w:jc w:val="both"/>
        <w:rPr>
          <w:rFonts w:ascii="Times New Roman" w:hAnsi="Times New Roman"/>
          <w:b/>
          <w:bCs/>
        </w:rPr>
      </w:pPr>
      <w:r w:rsidRPr="00B26017">
        <w:rPr>
          <w:rFonts w:ascii="Times New Roman" w:hAnsi="Times New Roman"/>
          <w:b/>
          <w:bCs/>
          <w:i/>
          <w:iCs/>
        </w:rPr>
        <w:t>Как действовать компании, если ее данные по заработку и стажу не совпадают с данными СФР? Особенно наших читателей интересует ситуация, когда стаж по данным компании меньше, чем по данным фонда.</w:t>
      </w:r>
    </w:p>
    <w:p w14:paraId="31F5CCFC"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Сведения о заработке для расчета пособия за первые три дня нетрудоспособности фонд предоставляет работодателю по данным персонифицированного учета. Работодатель не обязан представлять такие сведения. В то же время работодатель обязан направить фонду сведения о страховом стаже работника не позднее трех рабочих дней после того, как получит данные о закрытии электронного больничного. Компания отвечает за те сведения о стаже, которые передает фонду. В случае проверки их нужно будет подтвердить.</w:t>
      </w:r>
    </w:p>
    <w:p w14:paraId="3DC5B9D6" w14:textId="77777777" w:rsidR="0039093A" w:rsidRPr="00B26017" w:rsidRDefault="0039093A" w:rsidP="0039093A">
      <w:pPr>
        <w:spacing w:after="0" w:line="240" w:lineRule="auto"/>
        <w:ind w:firstLine="709"/>
        <w:jc w:val="both"/>
        <w:rPr>
          <w:rFonts w:ascii="Times New Roman" w:hAnsi="Times New Roman"/>
          <w:b/>
          <w:bCs/>
        </w:rPr>
      </w:pPr>
      <w:r w:rsidRPr="00B26017">
        <w:rPr>
          <w:rFonts w:ascii="Times New Roman" w:hAnsi="Times New Roman"/>
          <w:b/>
          <w:bCs/>
          <w:i/>
          <w:iCs/>
        </w:rPr>
        <w:t xml:space="preserve">Планирует ли фонд отказаться от дублирования в передаче данных, например об инвалидности? Ведь у СФР есть информация обо всех гражданах, которые оформили инвалидность, однако пока компании при назначении пособий передают эти данные в СФР. Между тем в обязанности сотрудника не входит информировать работодателя </w:t>
      </w:r>
      <w:proofErr w:type="gramStart"/>
      <w:r w:rsidRPr="00B26017">
        <w:rPr>
          <w:rFonts w:ascii="Times New Roman" w:hAnsi="Times New Roman"/>
          <w:b/>
          <w:bCs/>
          <w:i/>
          <w:iCs/>
        </w:rPr>
        <w:t>о своей инвалидности</w:t>
      </w:r>
      <w:proofErr w:type="gramEnd"/>
      <w:r w:rsidRPr="00B26017">
        <w:rPr>
          <w:rFonts w:ascii="Times New Roman" w:hAnsi="Times New Roman"/>
          <w:b/>
          <w:bCs/>
          <w:i/>
          <w:iCs/>
        </w:rPr>
        <w:t xml:space="preserve"> и компания может просто не знать о ней.</w:t>
      </w:r>
    </w:p>
    <w:p w14:paraId="65771BDC"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 xml:space="preserve">Фонд использует находящиеся в его распоряжении сведения об инвалидности граждан, когда назначает пособие по временной нетрудоспособности. Работодатель при </w:t>
      </w:r>
      <w:r w:rsidRPr="00B26017">
        <w:rPr>
          <w:rFonts w:ascii="Times New Roman" w:hAnsi="Times New Roman"/>
        </w:rPr>
        <w:lastRenderedPageBreak/>
        <w:t>этом не обязан сообщать фонду сведения об инвалидности работника, но при наличии у него таких сведений вправе предоставить их.</w:t>
      </w:r>
    </w:p>
    <w:p w14:paraId="2574ADF3" w14:textId="77777777" w:rsidR="0039093A" w:rsidRPr="00B26017" w:rsidRDefault="0039093A" w:rsidP="0039093A">
      <w:pPr>
        <w:spacing w:after="0" w:line="240" w:lineRule="auto"/>
        <w:ind w:firstLine="709"/>
        <w:jc w:val="both"/>
        <w:rPr>
          <w:rFonts w:ascii="Times New Roman" w:hAnsi="Times New Roman"/>
          <w:b/>
          <w:bCs/>
        </w:rPr>
      </w:pPr>
      <w:r w:rsidRPr="00B26017">
        <w:rPr>
          <w:rFonts w:ascii="Times New Roman" w:hAnsi="Times New Roman"/>
          <w:b/>
          <w:bCs/>
          <w:i/>
          <w:iCs/>
        </w:rPr>
        <w:t>Давайте рассмотрим ситуацию. Работник из-за увольнения утратил право на пособие по уходу за ребенком до полутора лет. Компания не уведомила фонд об этом отдельным сообщением, но подала ЕФС-1. В результате фонд выплатил лишнее пособие и потребовал его с компании. Суд компания выиграла (см. ниже. — Примеч. ред.). Судьи посчитали, что компания сообщила об увольнении по форме ЕФС-1. Может ли фонд действительно использовать в таких случаях информацию об увольнении из ЕФС1?</w:t>
      </w:r>
    </w:p>
    <w:p w14:paraId="084213C1"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Когда работодатель передает фонду сведения о расторжении трудовых отношений с работником, это не отменяет его обязанности направлять в СФР уведомление о прекращении права работника на получение ежемесячного пособия по уходу за ребенком. По закону страхователь должен уведомлять фонд об обстоятельствах, из-за которых работник теряет право на ежемесячное пособие по уходу за ребенком. Срок — не позднее трех рабочих дней со дня, когда страхователю стало известно о таких обстоятельствах. Форма уведомления утверждена приказом фонда, зарегистрированным в Минюсте (</w:t>
      </w:r>
      <w:hyperlink r:id="rId5" w:tgtFrame="_blank" w:history="1">
        <w:r w:rsidRPr="00B26017">
          <w:rPr>
            <w:rStyle w:val="a3"/>
            <w:rFonts w:ascii="Times New Roman" w:hAnsi="Times New Roman"/>
          </w:rPr>
          <w:t>приказ СФР от 22.04.2024 № 643</w:t>
        </w:r>
      </w:hyperlink>
      <w:r w:rsidRPr="00B26017">
        <w:rPr>
          <w:rFonts w:ascii="Times New Roman" w:hAnsi="Times New Roman"/>
        </w:rPr>
        <w:t>. </w:t>
      </w:r>
      <w:r w:rsidRPr="00B26017">
        <w:rPr>
          <w:rFonts w:ascii="Times New Roman" w:hAnsi="Times New Roman"/>
          <w:i/>
          <w:iCs/>
        </w:rPr>
        <w:t>— Примеч. ред.</w:t>
      </w:r>
      <w:r w:rsidRPr="00B26017">
        <w:rPr>
          <w:rFonts w:ascii="Times New Roman" w:hAnsi="Times New Roman"/>
        </w:rPr>
        <w:t>). И это не форма ЕФС-1 со сведениями об увольнении. Решения судов приняты по конкретным делам в отношении конкретных лиц и не могут распространяться на других граждан и на другие организации.</w:t>
      </w:r>
    </w:p>
    <w:p w14:paraId="69FC89BC" w14:textId="77777777" w:rsidR="0039093A" w:rsidRPr="00B26017" w:rsidRDefault="0039093A" w:rsidP="0039093A">
      <w:pPr>
        <w:spacing w:after="0" w:line="240" w:lineRule="auto"/>
        <w:ind w:firstLine="709"/>
        <w:jc w:val="both"/>
        <w:rPr>
          <w:rFonts w:ascii="Times New Roman" w:hAnsi="Times New Roman"/>
          <w:b/>
          <w:bCs/>
        </w:rPr>
      </w:pPr>
      <w:r w:rsidRPr="00B26017">
        <w:rPr>
          <w:rFonts w:ascii="Times New Roman" w:hAnsi="Times New Roman"/>
          <w:b/>
          <w:bCs/>
          <w:i/>
          <w:iCs/>
        </w:rPr>
        <w:t>Для расчета пособий фонд опирается на данные персонифицированного учета, в частности из раздела 3 РСВ. Также компании ежемесячно подают в ИФНС персонифицированные сведения. В них тоже есть данные о выплатах. Использует ли эти сведения фонд в своих расчетах? В частности, сейчас есть «проблема 4-го квартала». Данные из РСВ за этот период подтягиваются с опозданием, и приходится пересчитывать суммы пособий.</w:t>
      </w:r>
    </w:p>
    <w:p w14:paraId="183CDB19"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Для исчисления больничных, пособий по беременности и родам и по уходу за ребенком фонд использует сведения из системы персонифицированного учета о выплатах, на которые начислены взносы.</w:t>
      </w:r>
    </w:p>
    <w:p w14:paraId="71AE13D6"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Если на день назначения пособия сведений о выплатах нет либо они учтены не в полном объеме, фонд автоматически пересчитает ранее назначенные пособия после поступления данных из ФНС, без запроса дополнительных сведений от страхователя. При этом самой компании нужно будет пересчитать выплату за первые три дня по больничному листу.</w:t>
      </w:r>
    </w:p>
    <w:p w14:paraId="3E3BFD11" w14:textId="77777777" w:rsidR="0039093A" w:rsidRPr="00B26017" w:rsidRDefault="0039093A" w:rsidP="0039093A">
      <w:pPr>
        <w:spacing w:after="0" w:line="240" w:lineRule="auto"/>
        <w:ind w:firstLine="709"/>
        <w:jc w:val="both"/>
        <w:rPr>
          <w:rFonts w:ascii="Times New Roman" w:hAnsi="Times New Roman"/>
          <w:b/>
          <w:bCs/>
        </w:rPr>
      </w:pPr>
      <w:r w:rsidRPr="00B26017">
        <w:rPr>
          <w:rFonts w:ascii="Times New Roman" w:hAnsi="Times New Roman"/>
          <w:b/>
          <w:bCs/>
          <w:i/>
          <w:iCs/>
        </w:rPr>
        <w:t>Давайте поговорим о штрафах. За несвоевременное представление сведений о трудовой деятельности, а также за подачу неполных и (или) недостоверных сведений для ведения персонифицированного учета по форме ЕФС-1, подраздел 1.1, руководителю грозит штраф от 300 до 500 руб. (</w:t>
      </w:r>
      <w:hyperlink r:id="rId6" w:anchor="ZAP25B43EP" w:tgtFrame="_blank" w:history="1">
        <w:r w:rsidRPr="00B26017">
          <w:rPr>
            <w:rStyle w:val="a3"/>
            <w:rFonts w:ascii="Times New Roman" w:hAnsi="Times New Roman"/>
            <w:b/>
            <w:bCs/>
            <w:i/>
            <w:iCs/>
          </w:rPr>
          <w:t>ч. 1</w:t>
        </w:r>
      </w:hyperlink>
      <w:r w:rsidRPr="00B26017">
        <w:rPr>
          <w:rFonts w:ascii="Times New Roman" w:hAnsi="Times New Roman"/>
          <w:b/>
          <w:bCs/>
          <w:i/>
          <w:iCs/>
        </w:rPr>
        <w:t> ст. 15.33.2 КоАП. — Примеч. ред.). Получается, что за подраздел 1.1 формы ЕФС-1 штрафуют только по </w:t>
      </w:r>
      <w:hyperlink r:id="rId7" w:tgtFrame="_blank" w:history="1">
        <w:r w:rsidRPr="00B26017">
          <w:rPr>
            <w:rStyle w:val="a3"/>
            <w:rFonts w:ascii="Times New Roman" w:hAnsi="Times New Roman"/>
            <w:b/>
            <w:bCs/>
            <w:i/>
            <w:iCs/>
          </w:rPr>
          <w:t>КоАП</w:t>
        </w:r>
      </w:hyperlink>
      <w:r w:rsidRPr="00B26017">
        <w:rPr>
          <w:rFonts w:ascii="Times New Roman" w:hAnsi="Times New Roman"/>
          <w:b/>
          <w:bCs/>
          <w:i/>
          <w:iCs/>
        </w:rPr>
        <w:t>, а штраф по </w:t>
      </w:r>
      <w:hyperlink r:id="rId8" w:anchor="XA00MFS2O6" w:tgtFrame="_blank" w:history="1">
        <w:r w:rsidRPr="00B26017">
          <w:rPr>
            <w:rStyle w:val="a3"/>
            <w:rFonts w:ascii="Times New Roman" w:hAnsi="Times New Roman"/>
            <w:b/>
            <w:bCs/>
            <w:i/>
            <w:iCs/>
          </w:rPr>
          <w:t>статье 17</w:t>
        </w:r>
      </w:hyperlink>
      <w:r w:rsidRPr="00B26017">
        <w:rPr>
          <w:rFonts w:ascii="Times New Roman" w:hAnsi="Times New Roman"/>
          <w:b/>
          <w:bCs/>
          <w:i/>
          <w:iCs/>
        </w:rPr>
        <w:t> Федерального закона от 01.04.1996 № 27-ФЗ в размере 500 руб. за каждое застрахованное лицо, представленное в данном разделе формы ЕФС-1, не применяется. Так ли это?</w:t>
      </w:r>
    </w:p>
    <w:p w14:paraId="1E6846A0"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Не совсем так. В подразделе 1.1 раздела 1 формы ЕФС-1 страхователи представляют как сведения о трудовой деятельности, так и сведения о датах заключения и прекращения договоров ГПХ. Если подать такие сведения с опозданием либо с ошибками, штраф в размере 500 руб. в отношении каждого застрахованного применяют только в отношении сведений о датах заключения или прекращения договоров ГПХ. Применение штрафов за нарушения, допущенные при представлении сведений о трудовой деятельности, </w:t>
      </w:r>
      <w:hyperlink r:id="rId9" w:anchor="ZAP2MTA3KG" w:tgtFrame="_blank" w:history="1">
        <w:r w:rsidRPr="00B26017">
          <w:rPr>
            <w:rStyle w:val="a3"/>
            <w:rFonts w:ascii="Times New Roman" w:hAnsi="Times New Roman"/>
          </w:rPr>
          <w:t>частью 3</w:t>
        </w:r>
      </w:hyperlink>
      <w:r w:rsidRPr="00B26017">
        <w:rPr>
          <w:rFonts w:ascii="Times New Roman" w:hAnsi="Times New Roman"/>
        </w:rPr>
        <w:t> статьи 17 Закона № 27-ФЗ не предусмотрено.</w:t>
      </w:r>
    </w:p>
    <w:p w14:paraId="216A2C9D" w14:textId="77777777" w:rsidR="0039093A" w:rsidRPr="00B26017" w:rsidRDefault="0039093A" w:rsidP="0039093A">
      <w:pPr>
        <w:spacing w:after="0" w:line="240" w:lineRule="auto"/>
        <w:ind w:firstLine="709"/>
        <w:jc w:val="both"/>
        <w:rPr>
          <w:rFonts w:ascii="Times New Roman" w:hAnsi="Times New Roman"/>
          <w:b/>
          <w:bCs/>
        </w:rPr>
      </w:pPr>
      <w:r w:rsidRPr="00B26017">
        <w:rPr>
          <w:rFonts w:ascii="Times New Roman" w:hAnsi="Times New Roman"/>
          <w:b/>
          <w:bCs/>
          <w:i/>
          <w:iCs/>
        </w:rPr>
        <w:t>Правильно ли мы понимаем: если компанию оштрафовали за ЕФС-1 по </w:t>
      </w:r>
      <w:hyperlink r:id="rId10" w:anchor="XA00MFS2O6" w:tgtFrame="_blank" w:history="1">
        <w:r w:rsidRPr="00B26017">
          <w:rPr>
            <w:rStyle w:val="a3"/>
            <w:rFonts w:ascii="Times New Roman" w:hAnsi="Times New Roman"/>
            <w:b/>
            <w:bCs/>
            <w:i/>
            <w:iCs/>
          </w:rPr>
          <w:t>статье 17</w:t>
        </w:r>
      </w:hyperlink>
      <w:r w:rsidRPr="00B26017">
        <w:rPr>
          <w:rFonts w:ascii="Times New Roman" w:hAnsi="Times New Roman"/>
          <w:b/>
          <w:bCs/>
          <w:i/>
          <w:iCs/>
        </w:rPr>
        <w:t> Закона № 27-ФЗ, то она может заплатить только 50 процентов штрафа?</w:t>
      </w:r>
    </w:p>
    <w:p w14:paraId="013E3744" w14:textId="77777777" w:rsidR="0039093A" w:rsidRDefault="0039093A" w:rsidP="0039093A">
      <w:pPr>
        <w:spacing w:after="0" w:line="240" w:lineRule="auto"/>
        <w:ind w:firstLine="709"/>
        <w:jc w:val="both"/>
        <w:rPr>
          <w:rFonts w:ascii="Times New Roman" w:hAnsi="Times New Roman"/>
        </w:rPr>
      </w:pPr>
      <w:r w:rsidRPr="00B26017">
        <w:rPr>
          <w:rFonts w:ascii="Times New Roman" w:hAnsi="Times New Roman"/>
        </w:rPr>
        <w:t>Да, финансовые санкции, предусмотренные </w:t>
      </w:r>
      <w:hyperlink r:id="rId11" w:anchor="XA00MFS2O6" w:tgtFrame="_blank" w:history="1">
        <w:r w:rsidRPr="00B26017">
          <w:rPr>
            <w:rStyle w:val="a3"/>
            <w:rFonts w:ascii="Times New Roman" w:hAnsi="Times New Roman"/>
          </w:rPr>
          <w:t>статьей 17</w:t>
        </w:r>
      </w:hyperlink>
      <w:r w:rsidRPr="00B26017">
        <w:rPr>
          <w:rFonts w:ascii="Times New Roman" w:hAnsi="Times New Roman"/>
        </w:rPr>
        <w:t xml:space="preserve"> Закона № 27-ФЗ, можно заплатить в размере половины суммы, указанной в требовании. Для этого необходимо </w:t>
      </w:r>
      <w:r w:rsidRPr="00B26017">
        <w:rPr>
          <w:rFonts w:ascii="Times New Roman" w:hAnsi="Times New Roman"/>
        </w:rPr>
        <w:lastRenderedPageBreak/>
        <w:t>перечислить штраф в течение первых 10 календарных дней со дня получения такого требования.</w:t>
      </w:r>
    </w:p>
    <w:p w14:paraId="726E10F3" w14:textId="77777777" w:rsidR="00CD3E72" w:rsidRPr="00B26017" w:rsidRDefault="00CD3E72" w:rsidP="0039093A">
      <w:pPr>
        <w:spacing w:after="0" w:line="240" w:lineRule="auto"/>
        <w:ind w:firstLine="709"/>
        <w:jc w:val="both"/>
        <w:rPr>
          <w:rFonts w:ascii="Times New Roman" w:hAnsi="Times New Roman"/>
        </w:rPr>
      </w:pPr>
    </w:p>
    <w:p w14:paraId="4ADACFF8" w14:textId="77777777" w:rsidR="0039093A" w:rsidRPr="00B26017" w:rsidRDefault="0039093A" w:rsidP="0039093A">
      <w:pPr>
        <w:spacing w:after="0" w:line="240" w:lineRule="auto"/>
        <w:ind w:firstLine="709"/>
        <w:jc w:val="both"/>
        <w:rPr>
          <w:rFonts w:ascii="Times New Roman" w:hAnsi="Times New Roman"/>
        </w:rPr>
      </w:pPr>
      <w:r w:rsidRPr="00B26017">
        <w:rPr>
          <w:rFonts w:ascii="Times New Roman" w:hAnsi="Times New Roman"/>
        </w:rPr>
        <w:t>Коротко о важном</w:t>
      </w:r>
    </w:p>
    <w:tbl>
      <w:tblPr>
        <w:tblW w:w="0" w:type="auto"/>
        <w:tblCellMar>
          <w:left w:w="0" w:type="dxa"/>
          <w:right w:w="0" w:type="dxa"/>
        </w:tblCellMar>
        <w:tblLook w:val="04A0" w:firstRow="1" w:lastRow="0" w:firstColumn="1" w:lastColumn="0" w:noHBand="0" w:noVBand="1"/>
      </w:tblPr>
      <w:tblGrid>
        <w:gridCol w:w="2963"/>
        <w:gridCol w:w="3782"/>
        <w:gridCol w:w="3135"/>
      </w:tblGrid>
      <w:tr w:rsidR="0039093A" w:rsidRPr="00A811B3" w14:paraId="401A869E" w14:textId="77777777" w:rsidTr="00145004">
        <w:tc>
          <w:tcPr>
            <w:tcW w:w="0" w:type="auto"/>
            <w:tcMar>
              <w:top w:w="105" w:type="dxa"/>
              <w:left w:w="0" w:type="dxa"/>
              <w:bottom w:w="105" w:type="dxa"/>
              <w:right w:w="525" w:type="dxa"/>
            </w:tcMar>
            <w:hideMark/>
          </w:tcPr>
          <w:p w14:paraId="476933A3" w14:textId="77777777" w:rsidR="0039093A" w:rsidRPr="00A811B3" w:rsidRDefault="0039093A" w:rsidP="00145004">
            <w:pPr>
              <w:spacing w:after="0" w:line="240" w:lineRule="auto"/>
              <w:ind w:firstLine="709"/>
              <w:jc w:val="both"/>
              <w:rPr>
                <w:rFonts w:ascii="Times New Roman" w:hAnsi="Times New Roman"/>
              </w:rPr>
            </w:pPr>
            <w:r w:rsidRPr="00A811B3">
              <w:rPr>
                <w:rFonts w:ascii="Times New Roman" w:hAnsi="Times New Roman"/>
                <w:b/>
                <w:bCs/>
              </w:rPr>
              <w:t>1. Можно ли запросить сведения в фонде для расчета НДФЛ?</w:t>
            </w:r>
            <w:r w:rsidRPr="00A811B3">
              <w:rPr>
                <w:rFonts w:ascii="Times New Roman" w:hAnsi="Times New Roman"/>
              </w:rPr>
              <w:br/>
              <w:t>Нет, у СФР нет полномочий предоставлять такие сведения.</w:t>
            </w:r>
          </w:p>
        </w:tc>
        <w:tc>
          <w:tcPr>
            <w:tcW w:w="0" w:type="auto"/>
            <w:tcMar>
              <w:top w:w="105" w:type="dxa"/>
              <w:left w:w="0" w:type="dxa"/>
              <w:bottom w:w="105" w:type="dxa"/>
              <w:right w:w="525" w:type="dxa"/>
            </w:tcMar>
            <w:hideMark/>
          </w:tcPr>
          <w:p w14:paraId="29EED1A7" w14:textId="77777777" w:rsidR="0039093A" w:rsidRPr="00A811B3" w:rsidRDefault="0039093A" w:rsidP="00145004">
            <w:pPr>
              <w:spacing w:after="0" w:line="240" w:lineRule="auto"/>
              <w:ind w:firstLine="709"/>
              <w:jc w:val="both"/>
              <w:rPr>
                <w:rFonts w:ascii="Times New Roman" w:hAnsi="Times New Roman"/>
              </w:rPr>
            </w:pPr>
            <w:r w:rsidRPr="00A811B3">
              <w:rPr>
                <w:rFonts w:ascii="Times New Roman" w:hAnsi="Times New Roman"/>
                <w:b/>
                <w:bCs/>
              </w:rPr>
              <w:t>2. Будет ли фонд сообщать об исключаемых днях?</w:t>
            </w:r>
            <w:r w:rsidRPr="00A811B3">
              <w:rPr>
                <w:rFonts w:ascii="Times New Roman" w:hAnsi="Times New Roman"/>
              </w:rPr>
              <w:br/>
              <w:t>Да, такие изменения планируются. В запросах появится отдельное поле с этой информацией.</w:t>
            </w:r>
          </w:p>
        </w:tc>
        <w:tc>
          <w:tcPr>
            <w:tcW w:w="0" w:type="auto"/>
            <w:tcMar>
              <w:top w:w="105" w:type="dxa"/>
              <w:left w:w="0" w:type="dxa"/>
              <w:bottom w:w="105" w:type="dxa"/>
              <w:right w:w="525" w:type="dxa"/>
            </w:tcMar>
            <w:hideMark/>
          </w:tcPr>
          <w:p w14:paraId="49EDBA8D" w14:textId="77777777" w:rsidR="0039093A" w:rsidRPr="00A811B3" w:rsidRDefault="0039093A" w:rsidP="00145004">
            <w:pPr>
              <w:spacing w:after="0" w:line="240" w:lineRule="auto"/>
              <w:ind w:firstLine="709"/>
              <w:jc w:val="both"/>
              <w:rPr>
                <w:rFonts w:ascii="Times New Roman" w:hAnsi="Times New Roman"/>
              </w:rPr>
            </w:pPr>
            <w:r w:rsidRPr="00A811B3">
              <w:rPr>
                <w:rFonts w:ascii="Times New Roman" w:hAnsi="Times New Roman"/>
                <w:b/>
                <w:bCs/>
              </w:rPr>
              <w:t>3. Нужно ли уведомлять фонд об увольнении декретницы?</w:t>
            </w:r>
            <w:r w:rsidRPr="00A811B3">
              <w:rPr>
                <w:rFonts w:ascii="Times New Roman" w:hAnsi="Times New Roman"/>
              </w:rPr>
              <w:br/>
              <w:t>Да, если она получает пособие по уходу за ребенком до полутора лет.</w:t>
            </w:r>
          </w:p>
        </w:tc>
      </w:tr>
    </w:tbl>
    <w:p w14:paraId="54AB3B9B" w14:textId="77777777" w:rsidR="0039093A" w:rsidRPr="00B26017" w:rsidRDefault="0039093A" w:rsidP="0039093A">
      <w:pPr>
        <w:spacing w:after="0" w:line="240" w:lineRule="auto"/>
        <w:ind w:firstLine="709"/>
        <w:jc w:val="both"/>
        <w:rPr>
          <w:rFonts w:ascii="Times New Roman" w:hAnsi="Times New Roman"/>
          <w:b/>
          <w:bCs/>
        </w:rPr>
      </w:pPr>
    </w:p>
    <w:p w14:paraId="481A8BD7" w14:textId="77777777" w:rsidR="0039093A" w:rsidRPr="00CD3E72" w:rsidRDefault="0039093A" w:rsidP="00CD3E72">
      <w:pPr>
        <w:spacing w:after="0" w:line="240" w:lineRule="auto"/>
        <w:ind w:firstLine="709"/>
        <w:jc w:val="right"/>
        <w:rPr>
          <w:rFonts w:ascii="Times New Roman" w:hAnsi="Times New Roman"/>
          <w:b/>
          <w:bCs/>
        </w:rPr>
      </w:pPr>
    </w:p>
    <w:p w14:paraId="3D738B7A" w14:textId="77777777" w:rsidR="0039093A" w:rsidRPr="00CD3E72" w:rsidRDefault="0039093A" w:rsidP="00CD3E72">
      <w:pPr>
        <w:spacing w:after="0" w:line="240" w:lineRule="auto"/>
        <w:ind w:firstLine="709"/>
        <w:jc w:val="right"/>
        <w:rPr>
          <w:rFonts w:ascii="Times New Roman" w:hAnsi="Times New Roman"/>
          <w:b/>
          <w:bCs/>
        </w:rPr>
      </w:pPr>
    </w:p>
    <w:p w14:paraId="14BA8F08" w14:textId="1C70E1E9" w:rsidR="000C47A4" w:rsidRPr="00CD3E72" w:rsidRDefault="00CD3E72" w:rsidP="00CD3E72">
      <w:pPr>
        <w:jc w:val="right"/>
        <w:rPr>
          <w:rFonts w:ascii="Times New Roman" w:hAnsi="Times New Roman"/>
        </w:rPr>
      </w:pPr>
      <w:r w:rsidRPr="00CD3E72">
        <w:rPr>
          <w:rFonts w:ascii="Times New Roman" w:hAnsi="Times New Roman"/>
        </w:rPr>
        <w:t>Журнал «Главбух» №19, 2025</w:t>
      </w:r>
    </w:p>
    <w:sectPr w:rsidR="000C47A4" w:rsidRPr="00CD3E72" w:rsidSect="000C4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9093A"/>
    <w:rsid w:val="000C47A4"/>
    <w:rsid w:val="0039093A"/>
    <w:rsid w:val="00B71F9E"/>
    <w:rsid w:val="00CD3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C8DF"/>
  <w15:docId w15:val="{AF528CD3-BBBD-413A-88B0-C4B87B4E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93A"/>
    <w:pPr>
      <w:spacing w:after="160" w:line="278" w:lineRule="auto"/>
    </w:pPr>
    <w:rPr>
      <w:rFonts w:ascii="Calibri" w:eastAsia="Calibri"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90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lavbukh.ru/npd-doc?npmid=99&amp;npid=9017661&amp;anchor=XA00MFS2O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glavbukh.ru/npd-doc?npmid=99&amp;npid=90180766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avbukh.ru/npd-doc?npmid=99&amp;npid=901807667&amp;anchor=ZAP25B43EP" TargetMode="External"/><Relationship Id="rId11" Type="http://schemas.openxmlformats.org/officeDocument/2006/relationships/hyperlink" Target="https://e.glavbukh.ru/npd-doc?npmid=99&amp;npid=9017661&amp;anchor=XA00MFS2O6" TargetMode="External"/><Relationship Id="rId5" Type="http://schemas.openxmlformats.org/officeDocument/2006/relationships/hyperlink" Target="https://e.glavbukh.ru/npd-doc?npmid=99&amp;npid=1306455906" TargetMode="External"/><Relationship Id="rId10" Type="http://schemas.openxmlformats.org/officeDocument/2006/relationships/hyperlink" Target="https://e.glavbukh.ru/npd-doc?npmid=99&amp;npid=9017661&amp;anchor=XA00MFS2O6" TargetMode="External"/><Relationship Id="rId4" Type="http://schemas.openxmlformats.org/officeDocument/2006/relationships/hyperlink" Target="https://e.glavbukh.ru/npd-doc?npmid=99&amp;npid=901765862&amp;anchor=ZAP1PHA39L" TargetMode="External"/><Relationship Id="rId9" Type="http://schemas.openxmlformats.org/officeDocument/2006/relationships/hyperlink" Target="https://e.glavbukh.ru/npd-doc?npmid=99&amp;npid=9017661&amp;anchor=ZAP2MTA3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1259</Words>
  <Characters>7179</Characters>
  <Application>Microsoft Office Word</Application>
  <DocSecurity>0</DocSecurity>
  <Lines>59</Lines>
  <Paragraphs>16</Paragraphs>
  <ScaleCrop>false</ScaleCrop>
  <Company>Grizli777</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Pozdnyakova</dc:creator>
  <cp:lastModifiedBy>Екатерина Хомякова</cp:lastModifiedBy>
  <cp:revision>2</cp:revision>
  <dcterms:created xsi:type="dcterms:W3CDTF">2025-10-13T13:09:00Z</dcterms:created>
  <dcterms:modified xsi:type="dcterms:W3CDTF">2025-10-30T06:41:00Z</dcterms:modified>
</cp:coreProperties>
</file>